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新疆艺术剧院话剧团20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w:t>
      </w:r>
      <w:r>
        <w:rPr>
          <w:rFonts w:ascii="仿宋_GB2312" w:eastAsia="仿宋_GB2312"/>
          <w:b/>
          <w:sz w:val="32"/>
          <w:szCs w:val="32"/>
        </w:rPr>
        <w:t>见附</w:t>
      </w:r>
      <w:r>
        <w:rPr>
          <w:rFonts w:hint="eastAsia" w:ascii="仿宋_GB2312" w:eastAsia="仿宋_GB2312"/>
          <w:b/>
          <w:sz w:val="32"/>
          <w:szCs w:val="32"/>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hint="eastAsia" w:ascii="仿宋_GB2312" w:hAnsi="仿宋_GB2312" w:eastAsia="仿宋_GB2312" w:cs="仿宋_GB2312"/>
          <w:szCs w:val="32"/>
          <w:highlight w:val="none"/>
        </w:rPr>
        <w:fldChar w:fldCharType="end"/>
      </w:r>
      <w:bookmarkStart w:id="0" w:name="_Toc11287"/>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20011"/>
      <w:bookmarkStart w:id="3" w:name="_Toc307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话剧团作为自治区唯一的省级话剧表演团体，适应目前所处的社会环境和语言环境，谋求发展，积极开发群众喜闻乐见的演出形式及表演方式。努力创作多种多样的艺术表演形式，为发展话剧表演作出自己的贡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9893"/>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新疆艺术剧院话剧团2024年度，实有人数147人，其中：在职人员55人，减少5人；离休人员1人，减少1人；退休人员91人，增加2人。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kern w:val="0"/>
          <w:sz w:val="32"/>
          <w:szCs w:val="32"/>
          <w:highlight w:val="none"/>
        </w:rPr>
        <w:t>新疆艺术剧院话剧团无下属预算单位，下设5个</w:t>
      </w:r>
      <w:r>
        <w:rPr>
          <w:rFonts w:hint="eastAsia" w:ascii="仿宋_GB2312" w:hAnsi="宋体" w:eastAsia="仿宋_GB2312" w:cs="宋体"/>
          <w:kern w:val="0"/>
          <w:sz w:val="32"/>
          <w:szCs w:val="32"/>
          <w:highlight w:val="none"/>
          <w:lang w:val="en-US" w:eastAsia="zh-CN"/>
        </w:rPr>
        <w:t>科</w:t>
      </w:r>
      <w:r>
        <w:rPr>
          <w:rFonts w:hint="eastAsia" w:ascii="仿宋_GB2312" w:hAnsi="宋体" w:eastAsia="仿宋_GB2312" w:cs="宋体"/>
          <w:kern w:val="0"/>
          <w:sz w:val="32"/>
          <w:szCs w:val="32"/>
          <w:highlight w:val="none"/>
        </w:rPr>
        <w:t>室，分别是：办公室、创作研究室、演员队、舞美队、剧场。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3092"/>
      <w:bookmarkStart w:id="7" w:name="_Toc2598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688"/>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收入总计2,443.30</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其中：本年收入合计2,315.56万元，使用非财政拨款结余（含专用结余）0.00万元，年初结转和结余127.75万元。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总计2,443.30</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其中：本年支出合计2,184.51万元，结余分配0.00万元，年末结转和结余258.80万元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hint="eastAsia" w:ascii="仿宋_GB2312" w:eastAsia="仿宋_GB2312"/>
          <w:sz w:val="32"/>
          <w:szCs w:val="32"/>
          <w:highlight w:val="none"/>
        </w:rPr>
        <w:t>增加417.82万元，增长20.63%，主要原因是：</w:t>
      </w:r>
      <w:r>
        <w:rPr>
          <w:rFonts w:hint="eastAsia" w:ascii="仿宋_GB2312" w:eastAsia="仿宋_GB2312"/>
          <w:sz w:val="32"/>
          <w:szCs w:val="32"/>
          <w:highlight w:val="none"/>
          <w:lang w:val="en-US" w:eastAsia="zh-CN"/>
        </w:rPr>
        <w:t>一是新增新疆艺术剧院话剧团剧场消防设施改造项目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剧场设施设备购置项目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2024年自治区文化艺术创作专项扶持项目；二是自治区本级政府购买演出资金</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2024年度自治区文艺扶持激励项目资金较上年有所增加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17856"/>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本年收入2,315.56万元，</w:t>
      </w:r>
      <w:r>
        <w:rPr>
          <w:rFonts w:hint="eastAsia" w:ascii="仿宋_GB2312" w:eastAsia="仿宋_GB2312"/>
          <w:sz w:val="32"/>
          <w:szCs w:val="32"/>
          <w:highlight w:val="none"/>
        </w:rPr>
        <w:t>其中：财政拨款收入1,830.96万元,占79.07%；上级补助收入0.00万元,占0.00%；事业收入25.56万元，占1.10%；经营收入0.00万元,占0.00%；附属单位上缴收入0.00万元，占0.00%；其他收入459.04万元，占19.82%。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7961"/>
      <w:bookmarkStart w:id="13" w:name="_Toc29956"/>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本年支出2,184.51万元，</w:t>
      </w:r>
      <w:r>
        <w:rPr>
          <w:rFonts w:hint="eastAsia" w:ascii="仿宋_GB2312" w:eastAsia="仿宋_GB2312"/>
          <w:sz w:val="32"/>
          <w:szCs w:val="32"/>
          <w:highlight w:val="none"/>
        </w:rPr>
        <w:t>其中：基本支出1,072.32万元，占49.09%；项目支出1,112.19万元，占50.91%；上缴上级支出0.00万元，占0.00%</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经营支出0.00万元，占0.00%；对附属单位补助支出0.00万元，占0.00%</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4393"/>
      <w:bookmarkStart w:id="15" w:name="_Toc25936"/>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总计1,830.96</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其中：年初财政拨款结转和结余0.00万元，本年财政拨款收入1,830.96万元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总计1,830.96</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其中：年末财政拨款结转和结余0.00万元，本年财政拨款支出1,830.96万元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eastAsia="仿宋_GB2312"/>
          <w:sz w:val="32"/>
          <w:szCs w:val="32"/>
          <w:highlight w:val="none"/>
        </w:rPr>
        <w:t>增加482.85万元，增长35.82%，主要原因是：</w:t>
      </w:r>
      <w:r>
        <w:rPr>
          <w:rFonts w:hint="eastAsia" w:ascii="仿宋_GB2312" w:eastAsia="仿宋_GB2312"/>
          <w:sz w:val="32"/>
          <w:szCs w:val="32"/>
          <w:highlight w:val="none"/>
          <w:lang w:val="en-US" w:eastAsia="zh-CN"/>
        </w:rPr>
        <w:t>一是项目支出方面新增新疆艺术剧院话剧团剧场消防设施改造项目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剧场设施设备购置项目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2024年自治区文化艺术创作专项扶持项目，自治区本级政府购买演出资金</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2024年度自治区文艺扶持激励项目资金较上年有所增加；二是</w:t>
      </w:r>
      <w:r>
        <w:rPr>
          <w:rFonts w:hint="eastAsia" w:ascii="仿宋_GB2312" w:eastAsia="仿宋_GB2312"/>
          <w:sz w:val="32"/>
          <w:szCs w:val="32"/>
          <w:highlight w:val="none"/>
        </w:rPr>
        <w:t>基本支出方面较上年增加丧葬费及抚恤金和调增工资，因此财政拨款收入支出比上年增加。</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1,414.93万元，决算数1,830.96万元，预决算差异率29.40%，主要原因是：年初预算中不包括追加预算，2024年追加项目资金367.48万元，追加基本支出经费54.27万元，且年初预算中2024年文化人才专项经费剩余5.72万元结转至下一年使用，不计入决算数中</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9174"/>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8" w:name="_Toc23792"/>
      <w:r>
        <w:rPr>
          <w:rFonts w:hint="eastAsia" w:ascii="黑体" w:hAnsi="黑体" w:eastAsia="黑体"/>
          <w:sz w:val="32"/>
          <w:szCs w:val="32"/>
          <w:highlight w:val="none"/>
          <w:lang w:eastAsia="zh-CN"/>
        </w:rPr>
        <w:t>（一）一般公共预算财政拨款支出决算总体情况</w:t>
      </w:r>
      <w:bookmarkEnd w:id="18"/>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eastAsia="仿宋_GB2312"/>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2024年度一般公共预算财政拨款支出1,830.96万元，</w:t>
      </w:r>
      <w:r>
        <w:rPr>
          <w:rFonts w:hint="eastAsia" w:ascii="仿宋_GB2312" w:eastAsia="仿宋_GB2312"/>
          <w:spacing w:val="0"/>
          <w:sz w:val="32"/>
          <w:szCs w:val="32"/>
          <w:highlight w:val="none"/>
          <w:lang w:eastAsia="zh-CN"/>
        </w:rPr>
        <w:t>占本年支出合计的83.82%。</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增加482.85万元，增长35.82%，主要原因是：</w:t>
      </w:r>
      <w:r>
        <w:rPr>
          <w:rFonts w:hint="eastAsia" w:ascii="仿宋_GB2312" w:eastAsia="仿宋_GB2312"/>
          <w:sz w:val="32"/>
          <w:szCs w:val="32"/>
          <w:highlight w:val="none"/>
          <w:lang w:val="en-US" w:eastAsia="zh-CN"/>
        </w:rPr>
        <w:t>一是项目支出方面新增新疆艺术剧院话剧团剧场消防设施改造项目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剧场设施设备购置项目</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2024年自治区文化艺术创作专项扶持项目，自治区本级政府购买演出资金</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val="en-US" w:eastAsia="zh-CN"/>
        </w:rPr>
        <w:t>2024年度自治区文艺扶持激励项目资金较上年有所增加；二是</w:t>
      </w:r>
      <w:r>
        <w:rPr>
          <w:rFonts w:hint="eastAsia" w:ascii="仿宋_GB2312" w:eastAsia="仿宋_GB2312"/>
          <w:spacing w:val="0"/>
          <w:sz w:val="32"/>
          <w:szCs w:val="32"/>
          <w:highlight w:val="none"/>
        </w:rPr>
        <w:t>基本支出方面较上年增加丧葬费及抚恤金和调增工资，因此财政拨款支出比上年增加。</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1,414.93万元，决算数1,830.96万元，预决算差异率29.40%，主要原因是：年初预算中不包括追加预算，2024年追加项目资金367.48万元，追加基本支出经费54.27万元，且年初预算中2024年文化人才专项经费剩余5.72万元结转至下一年使用，不计入决算数中</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9" w:name="_Toc10960"/>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1.文化旅游体育与传媒支出（类）1,830.96万元，占100.00%</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4124"/>
      <w:r>
        <w:rPr>
          <w:rFonts w:hint="eastAsia" w:ascii="黑体" w:hAnsi="黑体" w:eastAsia="黑体"/>
          <w:sz w:val="32"/>
          <w:szCs w:val="32"/>
          <w:highlight w:val="none"/>
          <w:lang w:eastAsia="zh-CN"/>
        </w:rPr>
        <w:t>（三）一般公共预算财政拨款支出决算具体情况</w:t>
      </w:r>
      <w:bookmarkEnd w:id="2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1.文化旅游体育与传媒支出（类）文化和旅游（款）艺术表演团体（项）：支出决算数为1,504.96万元，比上年决算增加275.46万元，增长22.40%，主要原因是：本年较上年项目数量及项目资金有所增加，如</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2024年中央补助地方公共文化服务体系建设资金-新疆艺术剧院话剧团剧场消防设施改造项目，本年追加基本支出较上年也有所增加，如丧葬费抚恤金</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调增基本工资</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2.文化旅游体育与传媒支出（类）文化和旅游（款）文化创作与保护（项）：支出决算数为150.00万元，比上年决算增加120.00万元，增长400.00%，主要原因是：较上年新增2024年度自治区文艺扶持激励项目</w:t>
      </w:r>
      <w:r>
        <w:rPr>
          <w:rFonts w:hint="eastAsia" w:ascii="仿宋_GB2312" w:hAnsi="仿宋_GB2312" w:eastAsia="仿宋_GB2312" w:cs="仿宋_GB2312"/>
          <w:kern w:val="0"/>
          <w:sz w:val="32"/>
          <w:szCs w:val="32"/>
          <w:highlight w:val="none"/>
          <w:lang w:val="en-US" w:eastAsia="zh-CN"/>
        </w:rPr>
        <w:t>资金</w:t>
      </w:r>
      <w:r>
        <w:rPr>
          <w:rFonts w:hint="eastAsia" w:ascii="仿宋_GB2312" w:hAnsi="仿宋_GB2312" w:eastAsia="仿宋_GB2312" w:cs="仿宋_GB2312"/>
          <w:kern w:val="0"/>
          <w:sz w:val="32"/>
          <w:szCs w:val="32"/>
          <w:highlight w:val="none"/>
        </w:rPr>
        <w:t>100.00万元。2024年自治区文化艺术创作专项扶持资金50.00万元较上年多拨付20.00万元。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yellow"/>
          <w:lang w:val="en-US" w:eastAsia="zh-CN"/>
        </w:rPr>
      </w:pPr>
      <w:r>
        <w:rPr>
          <w:rFonts w:hint="eastAsia" w:ascii="仿宋_GB2312" w:hAnsi="仿宋_GB2312" w:eastAsia="仿宋_GB2312" w:cs="仿宋_GB2312"/>
          <w:kern w:val="0"/>
          <w:sz w:val="32"/>
          <w:szCs w:val="32"/>
          <w:highlight w:val="none"/>
          <w:lang w:val="en-US" w:eastAsia="zh-CN"/>
        </w:rPr>
        <w:t>3.文化旅游体育与传媒支出（类）文化和旅游（款）旅游宣传（项）：支出决算数为20.00万元，比上年决算增加20.00万元，增长0.00%，主要原因是：较上年新增项目2024年自治区旅游发展专项资金预算（第三批）20.00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文化旅游体育与传媒支出（类）文化和旅游（款）其他文化和旅游支出（项）：支出决算数为46.00万元，比上年决算减少42.28万元，下降47.89%，主要原因是：本年自治区旅游发展专项为旅游宣传支出，上年旅游专项资金全部在其他文化和旅游支出（2070199）科目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5.文化旅游体育与传媒支出（类）其他文化旅游体育与传媒支出（款）其他文化旅游体育与传媒支出（项）：支出决算数为110.00万元，比上年决算增加110.00万元，增长0.00%，主要原因是：本年新增项目中央补助地方公共文化服务体系建设补助资金—文旅厅110.00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6.社会保障和就业支出（类）行政事业单位养老支出（款）事业单位离退休（项）：支出决算数为0.00万元，比上年决算减少0.34万元，下降100.00%，主要原因是：上年度该款项下拨付离休费0.34万元，本年度无此类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11146"/>
      <w:bookmarkStart w:id="22" w:name="_Toc1058"/>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一般公共预算财政拨款基本支出1,057.48万元，其中：</w:t>
      </w:r>
      <w:r>
        <w:rPr>
          <w:rFonts w:hint="eastAsia" w:ascii="仿宋_GB2312" w:eastAsia="仿宋_GB2312"/>
          <w:b/>
          <w:bCs/>
          <w:sz w:val="32"/>
          <w:szCs w:val="32"/>
          <w:highlight w:val="none"/>
        </w:rPr>
        <w:t>人员经费979.06万元，</w:t>
      </w:r>
      <w:r>
        <w:rPr>
          <w:rFonts w:hint="eastAsia" w:ascii="仿宋_GB2312" w:eastAsia="仿宋_GB2312"/>
          <w:sz w:val="32"/>
          <w:szCs w:val="32"/>
          <w:highlight w:val="none"/>
        </w:rPr>
        <w:t>包括：基本工资、津贴补贴、奖金、绩效工资、机关事业单位基本养老保险缴费、职业年金缴费、职工基本医疗保险缴费、公务员医疗补助缴费、其他社会保障缴费、住房公积金、离休费、退休费、抚恤金、生活补助、奖励金和其他对个人和家庭的补助</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公用经费78.42万元，</w:t>
      </w:r>
      <w:r>
        <w:rPr>
          <w:rFonts w:hint="eastAsia" w:ascii="仿宋_GB2312" w:eastAsia="仿宋_GB2312"/>
          <w:sz w:val="32"/>
          <w:szCs w:val="32"/>
          <w:highlight w:val="none"/>
        </w:rPr>
        <w:t>包括：办公费、邮电费、取暖费、差旅费、工会经费、福利费和其他商品和服务支出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highlight w:val="none"/>
          <w:lang w:eastAsia="zh-CN"/>
        </w:rPr>
      </w:pPr>
      <w:bookmarkStart w:id="23" w:name="_Toc7927"/>
      <w:bookmarkStart w:id="24" w:name="_Toc19007"/>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本单位本年度无政府性基金预算财政拨款收入</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支出及结转和结余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10121"/>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本单位本年度无国有资本经营预算财政拨款收入、支出及结转和结余，国有资本经营预算财政拨款收入支出决算表为空表。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6" w:name="_Toc7190"/>
      <w:bookmarkStart w:id="27" w:name="_Toc32313"/>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三公”经费支出0.00万元，</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%，主要原因是：2023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三公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。其中：因公出国（境）费支出0.00万元,占0.00%，比上年增加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%，主要原因是：2023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与2024年均未安排因公出国（境）费；公务用车购置及运行维护费支出0.00万元，占0.00%，比上年增加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%，主要原因是：2023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与2024年均未安排公务用车购置及运行维护费；公务接待费支出0.00万元，占0.00%，比上年增加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%，主要原因是：2023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与2024年均未安排公务接待费。</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2024年未开支因公出国（境）费。单位全年安排的因公出国（境）团组0个，因公出国（境）0人次。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2024年未开支财政拨款公务用车运行维护费。公务用车购置数0辆，公务用车保有量0辆。国有资产占用情况中固定资产车辆6辆，与公务用车保有量差异原因是：2024年财政未安排公务用车运行维护费，我单位使用自有资金进行公务用车运行维护。</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2024年未开支公务接待费。单位全年安排的国内公务接待0批次，0人次。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财政拨款“三公”经费支出全年预算数0.00万元，决算数0.00万元，预决算差异率0.00%，主要原因是：2024年未安排财政拨款“三公”经费，</w:t>
      </w:r>
      <w:r>
        <w:rPr>
          <w:rFonts w:hint="eastAsia" w:ascii="仿宋_GB2312" w:eastAsia="仿宋_GB2312"/>
          <w:sz w:val="32"/>
          <w:szCs w:val="32"/>
          <w:lang w:eastAsia="zh-CN"/>
        </w:rPr>
        <w:t>因此没有此项开支</w:t>
      </w:r>
      <w:r>
        <w:rPr>
          <w:rFonts w:hint="eastAsia" w:ascii="仿宋_GB2312" w:eastAsia="仿宋_GB2312"/>
          <w:b w:val="0"/>
          <w:bCs w:val="0"/>
          <w:sz w:val="32"/>
          <w:szCs w:val="32"/>
          <w:highlight w:val="none"/>
          <w:lang w:eastAsia="zh-CN"/>
        </w:rPr>
        <w:t>。其中：因公出国（境）费全年预算数0.00万元，决算数0.00万元，预决算差异率0.00%，主要原因是：2024年未安排因公出国（境）费，</w:t>
      </w:r>
      <w:r>
        <w:rPr>
          <w:rFonts w:hint="eastAsia" w:ascii="仿宋_GB2312" w:eastAsia="仿宋_GB2312"/>
          <w:sz w:val="32"/>
          <w:szCs w:val="32"/>
          <w:lang w:eastAsia="zh-CN"/>
        </w:rPr>
        <w:t>因此没有此项开支；</w:t>
      </w:r>
      <w:r>
        <w:rPr>
          <w:rFonts w:hint="eastAsia" w:ascii="仿宋_GB2312" w:eastAsia="仿宋_GB2312"/>
          <w:b w:val="0"/>
          <w:bCs w:val="0"/>
          <w:sz w:val="32"/>
          <w:szCs w:val="32"/>
          <w:highlight w:val="none"/>
          <w:lang w:eastAsia="zh-CN"/>
        </w:rPr>
        <w:t>公务用车购置费全年预算数0.00万元，决算数0.00万元，预决算差异率0.00%，主要原因是：2024年未安排公务用车购置费，</w:t>
      </w:r>
      <w:r>
        <w:rPr>
          <w:rFonts w:hint="eastAsia" w:ascii="仿宋_GB2312" w:eastAsia="仿宋_GB2312"/>
          <w:sz w:val="32"/>
          <w:szCs w:val="32"/>
          <w:lang w:eastAsia="zh-CN"/>
        </w:rPr>
        <w:t>因此没有此项开支；</w:t>
      </w:r>
      <w:r>
        <w:rPr>
          <w:rFonts w:hint="eastAsia" w:ascii="仿宋_GB2312" w:eastAsia="仿宋_GB2312"/>
          <w:b w:val="0"/>
          <w:bCs w:val="0"/>
          <w:sz w:val="32"/>
          <w:szCs w:val="32"/>
          <w:highlight w:val="none"/>
          <w:lang w:eastAsia="zh-CN"/>
        </w:rPr>
        <w:t>公务用车运行</w:t>
      </w:r>
      <w:r>
        <w:rPr>
          <w:rFonts w:hint="eastAsia" w:ascii="仿宋_GB2312" w:eastAsia="仿宋_GB2312"/>
          <w:b w:val="0"/>
          <w:bCs w:val="0"/>
          <w:sz w:val="32"/>
          <w:szCs w:val="32"/>
          <w:highlight w:val="none"/>
          <w:lang w:val="en-US" w:eastAsia="zh-CN"/>
        </w:rPr>
        <w:t>维护</w:t>
      </w:r>
      <w:r>
        <w:rPr>
          <w:rFonts w:hint="eastAsia" w:ascii="仿宋_GB2312" w:eastAsia="仿宋_GB2312"/>
          <w:b w:val="0"/>
          <w:bCs w:val="0"/>
          <w:sz w:val="32"/>
          <w:szCs w:val="32"/>
          <w:highlight w:val="none"/>
          <w:lang w:eastAsia="zh-CN"/>
        </w:rPr>
        <w:t>费全年预算数0.00万元，决算数0.00万元，预决算差异率0.00%，主要原因是：2024年未安排财政拨款公务用车运行</w:t>
      </w:r>
      <w:r>
        <w:rPr>
          <w:rFonts w:hint="eastAsia" w:ascii="仿宋_GB2312" w:eastAsia="仿宋_GB2312"/>
          <w:b w:val="0"/>
          <w:bCs w:val="0"/>
          <w:sz w:val="32"/>
          <w:szCs w:val="32"/>
          <w:highlight w:val="none"/>
          <w:lang w:val="en-US" w:eastAsia="zh-CN"/>
        </w:rPr>
        <w:t>维护</w:t>
      </w:r>
      <w:r>
        <w:rPr>
          <w:rFonts w:hint="eastAsia" w:ascii="仿宋_GB2312" w:eastAsia="仿宋_GB2312"/>
          <w:b w:val="0"/>
          <w:bCs w:val="0"/>
          <w:sz w:val="32"/>
          <w:szCs w:val="32"/>
          <w:highlight w:val="none"/>
          <w:lang w:eastAsia="zh-CN"/>
        </w:rPr>
        <w:t>费，</w:t>
      </w:r>
      <w:r>
        <w:rPr>
          <w:rFonts w:hint="eastAsia" w:ascii="仿宋_GB2312" w:eastAsia="仿宋_GB2312"/>
          <w:sz w:val="32"/>
          <w:szCs w:val="32"/>
          <w:lang w:eastAsia="zh-CN"/>
        </w:rPr>
        <w:t>因此没有此项开支；</w:t>
      </w:r>
      <w:r>
        <w:rPr>
          <w:rFonts w:hint="eastAsia" w:ascii="仿宋_GB2312" w:eastAsia="仿宋_GB2312"/>
          <w:b w:val="0"/>
          <w:bCs w:val="0"/>
          <w:sz w:val="32"/>
          <w:szCs w:val="32"/>
          <w:highlight w:val="none"/>
          <w:lang w:eastAsia="zh-CN"/>
        </w:rPr>
        <w:t>公务接待费全年预算数0.00万元，决算数0.00万元，预决算差异率0.00%，主要原因是：2024年未安排公务接待费，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3025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30" w:name="_Toc813"/>
      <w:bookmarkStart w:id="31"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2024年度新疆艺术剧院话剧团公用经费支出78.42万元，比上年增加1.32万元，增长1.71%，主要原因是：</w:t>
      </w:r>
      <w:r>
        <w:rPr>
          <w:rFonts w:hint="eastAsia" w:ascii="仿宋_GB2312" w:eastAsia="仿宋_GB2312"/>
          <w:sz w:val="32"/>
          <w:szCs w:val="32"/>
          <w:highlight w:val="none"/>
          <w:lang w:val="en-US" w:eastAsia="zh-CN"/>
        </w:rPr>
        <w:t>取暖费标准上调，由22元每平方上调至31元每平方，因此本年取暖费较上年有所增加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2" w:name="_Toc707"/>
      <w:bookmarkStart w:id="33" w:name="_Toc26704"/>
      <w:r>
        <w:rPr>
          <w:rFonts w:hint="eastAsia" w:ascii="黑体" w:hAnsi="黑体" w:eastAsia="黑体"/>
          <w:sz w:val="32"/>
          <w:szCs w:val="32"/>
          <w:highlight w:val="none"/>
          <w:lang w:eastAsia="zh-CN"/>
        </w:rPr>
        <w:t>（二）政府采购情况</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2024年度政府采购支出总额531.81万元，其中：政府采购货物支出116.00万元、政府采购工程支出238.60万元、政府采购服务支出177.21万元。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授予中小企业合同金额501.36万元，占政府采购支出总额的94.27%，其中：授予小微企业合同金额501.36万元，占政府采购支出总额的94.27%</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4" w:name="_Toc16573"/>
      <w:bookmarkStart w:id="35" w:name="_Toc4591"/>
      <w:r>
        <w:rPr>
          <w:rFonts w:hint="eastAsia" w:ascii="黑体" w:hAnsi="黑体" w:eastAsia="黑体"/>
          <w:sz w:val="32"/>
          <w:szCs w:val="32"/>
          <w:highlight w:val="none"/>
          <w:lang w:eastAsia="zh-CN"/>
        </w:rPr>
        <w:t>（三）国有资产占用情况说明</w:t>
      </w:r>
      <w:bookmarkEnd w:id="34"/>
      <w:bookmarkEnd w:id="3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截至2024年12月31日，房屋8,459.88平方米，价值221.21万元。车辆6辆，价值77.90万元，其中：副部（省）级及以上领导用车0辆、主要负责人用车0辆、机要通信用车0辆、应急保障用车0辆、执法执勤用车0辆、特种专业技术用车0辆、离退休干部服务用车0辆、其他用车6辆，其他用车主要是：一般公务用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单价100万元（含）以上设备（不含车辆）0台（套）。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highlight w:val="none"/>
          <w:lang w:eastAsia="zh-CN"/>
        </w:rPr>
      </w:pPr>
      <w:bookmarkStart w:id="36" w:name="_Toc32589"/>
      <w:bookmarkStart w:id="37"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全年预算数391.00万元，全年执行数473.43万元。预算绩效管理取得的成效：一是项目预算绩效目标实施顺利，确保了各项工作正常运转和圆满完成，调动了演职人员的积极性、主动性、创造性，提升了演出质量，增强了公共文化服务能力；二是预算资金绩效评价是加强财务管理、保证资金安全性和效益性的重要抓手，我团非常重视，针对项目实施情况，细化工作责任，确保专项资金绩效评价工作达到预期目的。发现的问题及原因：一是相关绩效管理方面专业知识的系统性学习有待加强。各项指标的设置要进一步优化、完善，主要在细化、量化上改进；二是项目实施过程中，存在指标控制不够精准，指标完成出现偏差。下一步改进措施：一是加强预算编制和执行管理，细化部门预算编制，进一步压缩预算规模，严格控制预算执行中调整事项；二是加快推进预算绩效管理，预算编制突出绩效预算管理导向，实施预算绩效管理的部门、范围和资金规模进一步扩大。</w:t>
      </w:r>
      <w:r>
        <w:rPr>
          <w:rFonts w:ascii="仿宋_GB2312" w:eastAsia="仿宋_GB2312"/>
          <w:b w:val="0"/>
          <w:sz w:val="32"/>
          <w:szCs w:val="32"/>
        </w:rPr>
        <w:t>具体附项目支出绩效自评表</w:t>
      </w:r>
      <w:r>
        <w:rPr>
          <w:rFonts w:hint="eastAsia" w:ascii="仿宋_GB2312" w:eastAsia="仿宋_GB2312"/>
          <w:b w:val="0"/>
          <w:sz w:val="32"/>
          <w:szCs w:val="32"/>
          <w:lang w:eastAsia="zh-CN"/>
        </w:rPr>
        <w:t>（</w:t>
      </w:r>
      <w:r>
        <w:rPr>
          <w:rFonts w:hint="eastAsia" w:ascii="仿宋_GB2312" w:eastAsia="仿宋_GB2312"/>
          <w:sz w:val="32"/>
          <w:szCs w:val="32"/>
          <w:highlight w:val="none"/>
          <w:lang w:eastAsia="zh-CN"/>
        </w:rPr>
        <w:t>见附</w:t>
      </w:r>
      <w:r>
        <w:rPr>
          <w:rFonts w:hint="eastAsia" w:ascii="仿宋_GB2312" w:eastAsia="仿宋_GB2312"/>
          <w:sz w:val="32"/>
          <w:szCs w:val="32"/>
          <w:highlight w:val="none"/>
          <w:lang w:val="en-US" w:eastAsia="zh-CN"/>
        </w:rPr>
        <w:t>件2</w:t>
      </w:r>
      <w:r>
        <w:rPr>
          <w:rFonts w:hint="eastAsia" w:ascii="仿宋_GB2312" w:eastAsia="仿宋_GB2312"/>
          <w:b w:val="0"/>
          <w:sz w:val="32"/>
          <w:szCs w:val="32"/>
          <w:lang w:eastAsia="zh-CN"/>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8" w:name="_Toc3606"/>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bookmarkEnd w:id="38"/>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b/>
          <w:bCs/>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9" w:name="_Toc24143"/>
      <w:r>
        <w:rPr>
          <w:rFonts w:hint="eastAsia" w:ascii="黑体" w:hAnsi="黑体" w:eastAsia="黑体"/>
          <w:sz w:val="32"/>
          <w:szCs w:val="32"/>
          <w:highlight w:val="none"/>
        </w:rPr>
        <w:br w:type="page"/>
      </w:r>
      <w:bookmarkStart w:id="40" w:name="_Toc9851"/>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9"/>
      <w:bookmarkEnd w:id="40"/>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1" w:name="_Toc25218"/>
      <w:r>
        <w:rPr>
          <w:rFonts w:hint="eastAsia" w:ascii="黑体" w:hAnsi="黑体" w:eastAsia="黑体"/>
          <w:sz w:val="32"/>
          <w:szCs w:val="32"/>
          <w:highlight w:val="none"/>
        </w:rPr>
        <w:t>第四部分 部门决算报表（</w:t>
      </w:r>
      <w:r>
        <w:rPr>
          <w:rFonts w:ascii="黑体" w:eastAsia="黑体"/>
          <w:sz w:val="32"/>
          <w:szCs w:val="32"/>
        </w:rPr>
        <w:t>见附</w:t>
      </w:r>
      <w:r>
        <w:rPr>
          <w:rFonts w:hint="eastAsia" w:ascii="黑体" w:eastAsia="黑体"/>
          <w:sz w:val="32"/>
          <w:szCs w:val="32"/>
          <w:lang w:val="en-US" w:eastAsia="zh-CN"/>
        </w:rPr>
        <w:t>件1</w:t>
      </w:r>
      <w:r>
        <w:rPr>
          <w:rFonts w:hint="eastAsia" w:ascii="黑体" w:hAnsi="黑体" w:eastAsia="黑体"/>
          <w:sz w:val="32"/>
          <w:szCs w:val="32"/>
          <w:highlight w:val="none"/>
        </w:rPr>
        <w:t>）</w:t>
      </w:r>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25722"/>
      <w:bookmarkStart w:id="43" w:name="_Toc6062"/>
      <w:r>
        <w:rPr>
          <w:rFonts w:hint="eastAsia" w:ascii="仿宋_GB2312" w:hAnsi="仿宋_GB2312" w:eastAsia="仿宋_GB2312" w:cs="仿宋_GB2312"/>
          <w:bCs/>
          <w:kern w:val="0"/>
          <w:sz w:val="32"/>
          <w:szCs w:val="32"/>
          <w:highlight w:val="none"/>
        </w:rPr>
        <w:t>一、《收入支出决算总表》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30364"/>
      <w:bookmarkStart w:id="45" w:name="_Toc11095"/>
      <w:r>
        <w:rPr>
          <w:rFonts w:hint="eastAsia" w:ascii="仿宋_GB2312" w:hAnsi="仿宋_GB2312" w:eastAsia="仿宋_GB2312" w:cs="仿宋_GB2312"/>
          <w:bCs/>
          <w:kern w:val="0"/>
          <w:sz w:val="32"/>
          <w:szCs w:val="32"/>
          <w:highlight w:val="none"/>
        </w:rPr>
        <w:t>二、《收入决算表》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25511"/>
      <w:bookmarkStart w:id="47" w:name="_Toc21304"/>
      <w:r>
        <w:rPr>
          <w:rFonts w:hint="eastAsia" w:ascii="仿宋_GB2312" w:hAnsi="仿宋_GB2312" w:eastAsia="仿宋_GB2312" w:cs="仿宋_GB2312"/>
          <w:bCs/>
          <w:kern w:val="0"/>
          <w:sz w:val="32"/>
          <w:szCs w:val="32"/>
          <w:highlight w:val="none"/>
        </w:rPr>
        <w:t>三、《支出决算表》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8" w:name="_Toc14238"/>
      <w:bookmarkStart w:id="49" w:name="_Toc31346"/>
      <w:r>
        <w:rPr>
          <w:rFonts w:hint="eastAsia" w:ascii="仿宋_GB2312" w:hAnsi="仿宋_GB2312" w:eastAsia="仿宋_GB2312" w:cs="仿宋_GB2312"/>
          <w:bCs/>
          <w:kern w:val="0"/>
          <w:sz w:val="32"/>
          <w:szCs w:val="32"/>
          <w:highlight w:val="none"/>
        </w:rPr>
        <w:t>四、《财政拨款收入支出决算总表》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0" w:name="_Toc10347"/>
      <w:bookmarkStart w:id="51" w:name="_Toc910"/>
      <w:r>
        <w:rPr>
          <w:rFonts w:hint="eastAsia" w:ascii="仿宋_GB2312" w:hAnsi="仿宋_GB2312" w:eastAsia="仿宋_GB2312" w:cs="仿宋_GB2312"/>
          <w:bCs/>
          <w:kern w:val="0"/>
          <w:sz w:val="32"/>
          <w:szCs w:val="32"/>
          <w:highlight w:val="none"/>
        </w:rPr>
        <w:t>五、《一般公共预算财政拨款支出决算表》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2" w:name="_Toc5626"/>
      <w:bookmarkStart w:id="53" w:name="_Toc6578"/>
      <w:r>
        <w:rPr>
          <w:rFonts w:hint="eastAsia" w:ascii="仿宋_GB2312" w:hAnsi="仿宋_GB2312" w:eastAsia="仿宋_GB2312" w:cs="仿宋_GB2312"/>
          <w:bCs/>
          <w:kern w:val="0"/>
          <w:sz w:val="32"/>
          <w:szCs w:val="32"/>
          <w:highlight w:val="none"/>
        </w:rPr>
        <w:t>六、《一般公共预算财政拨款基本支出决算表》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4" w:name="_Toc13584"/>
      <w:bookmarkStart w:id="55" w:name="_Toc5453"/>
      <w:r>
        <w:rPr>
          <w:rFonts w:hint="eastAsia" w:ascii="仿宋_GB2312" w:hAnsi="仿宋_GB2312" w:eastAsia="仿宋_GB2312" w:cs="仿宋_GB2312"/>
          <w:bCs/>
          <w:kern w:val="0"/>
          <w:sz w:val="32"/>
          <w:szCs w:val="32"/>
          <w:highlight w:val="none"/>
        </w:rPr>
        <w:t>七、《政府性基金预算财政拨款收入支出决算表》</w:t>
      </w:r>
      <w:bookmarkEnd w:id="54"/>
      <w:bookmarkEnd w:id="5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13058"/>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7" w:name="_Toc19637"/>
      <w:bookmarkStart w:id="58" w:name="_Toc29106"/>
      <w:bookmarkStart w:id="59" w:name="_Toc32663"/>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7"/>
      <w:bookmarkEnd w:id="58"/>
      <w:bookmarkEnd w:id="59"/>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hint="eastAsia" w:ascii="黑体" w:eastAsia="黑体"/>
          <w:sz w:val="32"/>
          <w:szCs w:val="32"/>
          <w:lang w:val="en-US" w:eastAsia="zh-CN"/>
        </w:rPr>
        <w:t xml:space="preserve">    </w:t>
      </w:r>
      <w:bookmarkStart w:id="60" w:name="_GoBack"/>
      <w:bookmarkEnd w:id="60"/>
      <w:r>
        <w:rPr>
          <w:rFonts w:ascii="黑体" w:eastAsia="黑体"/>
          <w:sz w:val="32"/>
          <w:szCs w:val="32"/>
        </w:rPr>
        <w:t>第</w:t>
      </w:r>
      <w:r>
        <w:rPr>
          <w:rFonts w:hint="eastAsia" w:ascii="黑体" w:eastAsia="黑体"/>
          <w:sz w:val="32"/>
          <w:szCs w:val="32"/>
          <w:lang w:val="en-US" w:eastAsia="zh-CN"/>
        </w:rPr>
        <w:t>五</w:t>
      </w:r>
      <w:r>
        <w:rPr>
          <w:rFonts w:ascii="黑体" w:eastAsia="黑体"/>
          <w:sz w:val="32"/>
          <w:szCs w:val="32"/>
        </w:rPr>
        <w:t>部分</w:t>
      </w:r>
      <w:r>
        <w:rPr>
          <w:rFonts w:hint="eastAsia" w:ascii="黑体" w:eastAsia="黑体"/>
          <w:sz w:val="32"/>
          <w:szCs w:val="32"/>
          <w:lang w:val="en-US" w:eastAsia="zh-CN"/>
        </w:rPr>
        <w:t xml:space="preserve"> 项目绩效自评表</w:t>
      </w:r>
      <w:r>
        <w:rPr>
          <w:rFonts w:ascii="黑体" w:eastAsia="黑体"/>
          <w:sz w:val="32"/>
          <w:szCs w:val="32"/>
        </w:rPr>
        <w:t>（见附</w:t>
      </w:r>
      <w:r>
        <w:rPr>
          <w:rFonts w:hint="eastAsia" w:ascii="黑体" w:eastAsia="黑体"/>
          <w:sz w:val="32"/>
          <w:szCs w:val="32"/>
          <w:lang w:val="en-US" w:eastAsia="zh-CN"/>
        </w:rPr>
        <w:t>件2</w:t>
      </w:r>
      <w:r>
        <w:rPr>
          <w:rFonts w:ascii="黑体" w:eastAsia="黑体"/>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781A89"/>
    <w:rsid w:val="027A149C"/>
    <w:rsid w:val="02F73D26"/>
    <w:rsid w:val="034D4FEF"/>
    <w:rsid w:val="03DE0026"/>
    <w:rsid w:val="043E5B56"/>
    <w:rsid w:val="06792773"/>
    <w:rsid w:val="08B04E26"/>
    <w:rsid w:val="09A729D8"/>
    <w:rsid w:val="0A7B4867"/>
    <w:rsid w:val="0AC260D6"/>
    <w:rsid w:val="0B8C3ECC"/>
    <w:rsid w:val="0C3613A3"/>
    <w:rsid w:val="0C4C7531"/>
    <w:rsid w:val="0C7227A7"/>
    <w:rsid w:val="0DCA6EF7"/>
    <w:rsid w:val="0E4B1576"/>
    <w:rsid w:val="11E15093"/>
    <w:rsid w:val="120E0809"/>
    <w:rsid w:val="15040177"/>
    <w:rsid w:val="15571C5D"/>
    <w:rsid w:val="172B5282"/>
    <w:rsid w:val="1875698D"/>
    <w:rsid w:val="18FD02DA"/>
    <w:rsid w:val="19071D6C"/>
    <w:rsid w:val="1C317E4F"/>
    <w:rsid w:val="1C472464"/>
    <w:rsid w:val="1CE91865"/>
    <w:rsid w:val="1DAF458D"/>
    <w:rsid w:val="1E086ACE"/>
    <w:rsid w:val="1EAA4A5F"/>
    <w:rsid w:val="1F040613"/>
    <w:rsid w:val="1F587A0B"/>
    <w:rsid w:val="2064678E"/>
    <w:rsid w:val="20DD6197"/>
    <w:rsid w:val="21783C19"/>
    <w:rsid w:val="21F317F2"/>
    <w:rsid w:val="2241392C"/>
    <w:rsid w:val="23BC04D2"/>
    <w:rsid w:val="25275618"/>
    <w:rsid w:val="27CF2642"/>
    <w:rsid w:val="282459E2"/>
    <w:rsid w:val="2A053397"/>
    <w:rsid w:val="2A444FB1"/>
    <w:rsid w:val="2A6064E2"/>
    <w:rsid w:val="2BA9200B"/>
    <w:rsid w:val="2D1136DF"/>
    <w:rsid w:val="2DAE0E44"/>
    <w:rsid w:val="2FD27414"/>
    <w:rsid w:val="313F1D52"/>
    <w:rsid w:val="318029AB"/>
    <w:rsid w:val="31C63837"/>
    <w:rsid w:val="326F0A17"/>
    <w:rsid w:val="34623382"/>
    <w:rsid w:val="3914510A"/>
    <w:rsid w:val="3AF63AA9"/>
    <w:rsid w:val="3B1220C9"/>
    <w:rsid w:val="3D5275AC"/>
    <w:rsid w:val="3EA7725F"/>
    <w:rsid w:val="3EFFD85D"/>
    <w:rsid w:val="40834692"/>
    <w:rsid w:val="423A32B2"/>
    <w:rsid w:val="464B7E04"/>
    <w:rsid w:val="46901EEE"/>
    <w:rsid w:val="469C74D2"/>
    <w:rsid w:val="47445515"/>
    <w:rsid w:val="48743D54"/>
    <w:rsid w:val="48E21116"/>
    <w:rsid w:val="49C97D5C"/>
    <w:rsid w:val="4AE426AE"/>
    <w:rsid w:val="4B4C0111"/>
    <w:rsid w:val="4D730311"/>
    <w:rsid w:val="4EF80F78"/>
    <w:rsid w:val="505A358E"/>
    <w:rsid w:val="50DB5F45"/>
    <w:rsid w:val="52F92565"/>
    <w:rsid w:val="537D4EC8"/>
    <w:rsid w:val="53A5474A"/>
    <w:rsid w:val="55DA564E"/>
    <w:rsid w:val="56E07045"/>
    <w:rsid w:val="583059FA"/>
    <w:rsid w:val="587E6212"/>
    <w:rsid w:val="58D10A34"/>
    <w:rsid w:val="58D51CE6"/>
    <w:rsid w:val="59973ABF"/>
    <w:rsid w:val="5A74678C"/>
    <w:rsid w:val="5AFC6609"/>
    <w:rsid w:val="5FA17648"/>
    <w:rsid w:val="613409CB"/>
    <w:rsid w:val="61A46A97"/>
    <w:rsid w:val="62DD7D21"/>
    <w:rsid w:val="62ED2E71"/>
    <w:rsid w:val="63290213"/>
    <w:rsid w:val="65D97752"/>
    <w:rsid w:val="664C500C"/>
    <w:rsid w:val="6773145F"/>
    <w:rsid w:val="68DB0208"/>
    <w:rsid w:val="69846A0E"/>
    <w:rsid w:val="69AD798C"/>
    <w:rsid w:val="6B68175F"/>
    <w:rsid w:val="6B8B5C99"/>
    <w:rsid w:val="6B8C552F"/>
    <w:rsid w:val="6C413705"/>
    <w:rsid w:val="6E0F7A08"/>
    <w:rsid w:val="6E801ABC"/>
    <w:rsid w:val="6ED95675"/>
    <w:rsid w:val="71473612"/>
    <w:rsid w:val="718F7F65"/>
    <w:rsid w:val="722C39D6"/>
    <w:rsid w:val="72505199"/>
    <w:rsid w:val="73423603"/>
    <w:rsid w:val="73DE4104"/>
    <w:rsid w:val="73FB6630"/>
    <w:rsid w:val="74CE04EC"/>
    <w:rsid w:val="74E76DCD"/>
    <w:rsid w:val="76660D7C"/>
    <w:rsid w:val="76CF72D3"/>
    <w:rsid w:val="77B74FE5"/>
    <w:rsid w:val="77ED6F44"/>
    <w:rsid w:val="78B87A58"/>
    <w:rsid w:val="795A0A34"/>
    <w:rsid w:val="79FB30B5"/>
    <w:rsid w:val="7A0D3BC7"/>
    <w:rsid w:val="7A3A3CDB"/>
    <w:rsid w:val="7B7F441F"/>
    <w:rsid w:val="7BFEDE06"/>
    <w:rsid w:val="7EAC4FE1"/>
    <w:rsid w:val="DFD333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534</Words>
  <Characters>537</Characters>
  <Lines>0</Lines>
  <Paragraphs>0</Paragraphs>
  <TotalTime>1</TotalTime>
  <ScaleCrop>false</ScaleCrop>
  <LinksUpToDate>false</LinksUpToDate>
  <CharactersWithSpaces>543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wlt</cp:lastModifiedBy>
  <cp:lastPrinted>2024-07-23T11:58:00Z</cp:lastPrinted>
  <dcterms:modified xsi:type="dcterms:W3CDTF">2025-08-28T12:37:04Z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BF84EB570CBF4DCCBC5B95C8B1FED363_13</vt:lpwstr>
  </property>
  <property fmtid="{D5CDD505-2E9C-101B-9397-08002B2CF9AE}" pid="4" name="KSOTemplateDocerSaveRecord">
    <vt:lpwstr>eyJoZGlkIjoiMjM2MTJkNTllOTk0NGUzMmQzMGI4ZWEwMWY2N2NmODkiLCJ1c2VySWQiOiI3Mzc5ODIyMzgifQ==</vt:lpwstr>
  </property>
</Properties>
</file>